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13 мая 2016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8F0040" w:rsidP="000F3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F32B0">
              <w:rPr>
                <w:rFonts w:ascii="Times New Roman" w:eastAsia="Times New Roman" w:hAnsi="Times New Roman" w:cs="Times New Roman"/>
                <w:sz w:val="28"/>
                <w:szCs w:val="28"/>
              </w:rPr>
              <w:t>86/1068</w:t>
            </w: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комиссии Лаишевского района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с правом решающего голоса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8F0040" w:rsidRDefault="008F0040" w:rsidP="008F0040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от обязанностей члена территориальной избирательной комиссии Лаишевского района Республики Татарстан с правом решающего голоса</w:t>
      </w: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Хаметшину Диляру Миналимовну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территориальной избирательной комиссии Советом Лаишевского муниципального района 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основании личного заявления до истечении срока ее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территориальной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>с правом решающего голоса в состав территориальной избирательной комиссии Лаишевского района 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вакантное место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газетах «Республика Татарстан», «Ватаным Татарстан» и разместить 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в территориальную избирательную комиссию Лаишевского района Республики Татарстан.</w:t>
      </w:r>
    </w:p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8"/>
        <w:gridCol w:w="4349"/>
      </w:tblGrid>
      <w:tr w:rsidR="008F0040" w:rsidRPr="008F0040" w:rsidTr="002B653E">
        <w:tc>
          <w:tcPr>
            <w:tcW w:w="4962" w:type="dxa"/>
            <w:hideMark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8F0040" w:rsidRPr="008F0040" w:rsidTr="002B653E">
        <w:tc>
          <w:tcPr>
            <w:tcW w:w="4962" w:type="dxa"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040" w:rsidRPr="008F0040" w:rsidTr="002B653E">
        <w:tc>
          <w:tcPr>
            <w:tcW w:w="4962" w:type="dxa"/>
            <w:hideMark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Н.П.Борисова</w:t>
            </w:r>
          </w:p>
        </w:tc>
      </w:tr>
    </w:tbl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13 мая 2016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F3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86/1068</w:t>
            </w:r>
            <w:bookmarkStart w:id="0" w:name="_GoBack"/>
            <w:bookmarkEnd w:id="0"/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Лаишевского района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Лаишевского района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Лаишевского района Республики Татарстан с правом решающего голоса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вакантное место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десяти рабочих дней со дня опубликования настоящего сообщения </w:t>
      </w:r>
      <w:r w:rsidRPr="008F0040">
        <w:rPr>
          <w:rFonts w:ascii="Times New Roman" w:hAnsi="Times New Roman" w:cs="Times New Roman"/>
          <w:sz w:val="28"/>
        </w:rPr>
        <w:t>с 9.00 до 18.00 часов (перерыв с 12.00 до 13.00), по адресу: 420014, Казань, Кремль, подъезд 3 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Территориальной избирательной комиссии на вакантное место необходимо руководствоваться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участковых избирательных комиссий»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23 марта 2016 года № 329/1874-6).</w:t>
      </w:r>
    </w:p>
    <w:p w:rsidR="0051360F" w:rsidRDefault="0051360F" w:rsidP="009B0CAC">
      <w:pPr>
        <w:spacing w:after="0"/>
      </w:pPr>
    </w:p>
    <w:sectPr w:rsidR="005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E6931"/>
    <w:rsid w:val="000F32B0"/>
    <w:rsid w:val="0051360F"/>
    <w:rsid w:val="007141A8"/>
    <w:rsid w:val="008F0040"/>
    <w:rsid w:val="009B0CAC"/>
    <w:rsid w:val="00A80F19"/>
    <w:rsid w:val="00B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2016-05-12T05:38:00Z</cp:lastPrinted>
  <dcterms:created xsi:type="dcterms:W3CDTF">2016-05-10T13:29:00Z</dcterms:created>
  <dcterms:modified xsi:type="dcterms:W3CDTF">2016-05-13T05:19:00Z</dcterms:modified>
</cp:coreProperties>
</file>